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Tài chính</w:t>
      </w:r>
      <w:r w:rsidRPr="00FA254E">
        <w:rPr>
          <w:b/>
          <w:bCs/>
          <w:noProof/>
          <w:sz w:val="24"/>
          <w:szCs w:val="24"/>
        </w:rPr>
        <w:t xml:space="preserve"> quốc tế</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International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FIB387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người học những vấn đề có liên quan tới sự vận động của các luồng tiền tệ giữa các quốc gia trên thế giới. Cụ thể, học phần trang bị những kiến thức về hoạt động của thị trường tài chính quốc tế, tỷ giá hối đoái, cán cân thanh toán quốc tế, các học thuyết về ngang giá sức mua, ngang giá lãi suất.</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học các học phần chuyên sâu có vận dụng kiến thức tài chính quốc tế; đồng thời giúp sinh viên biết vận dụng kiến thức và kỹ năng trong nghiệp vụ kinh doanh ngoại hối, xác lập cán cân thanh toán cũng như đưa ra các quyết định đầu tư và tài trợ quốc tế.</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Trình bày</w:t>
      </w:r>
      <w:r w:rsidRPr="00FA254E">
        <w:rPr>
          <w:noProof/>
          <w:sz w:val="24"/>
          <w:szCs w:val="24"/>
        </w:rPr>
        <w:t xml:space="preserve"> được cấu trúc của thị trường tài chính quốc tế.</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Tính được</w:t>
      </w:r>
      <w:r w:rsidRPr="00FA254E">
        <w:rPr>
          <w:noProof/>
          <w:sz w:val="24"/>
          <w:szCs w:val="24"/>
        </w:rPr>
        <w:t xml:space="preserve"> tỷ giá, thực hiện nghiệp vụ kinh doanh ngoại hối.</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mối quan hệ tác động qua lại giữa tỷ giá với các biến số vĩ mô khác trong nền kinh tế</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Biết cách</w:t>
      </w:r>
      <w:r w:rsidRPr="00FA254E">
        <w:rPr>
          <w:noProof/>
          <w:sz w:val="24"/>
          <w:szCs w:val="24"/>
        </w:rPr>
        <w:t xml:space="preserve"> đọc, phân tích các hạng mục trong cán cân thanh toán</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Thực hiện</w:t>
      </w:r>
      <w:r w:rsidRPr="00FA254E">
        <w:rPr>
          <w:noProof/>
          <w:sz w:val="24"/>
          <w:szCs w:val="24"/>
        </w:rPr>
        <w:t xml:space="preserve"> nghiệp vụ đầu tư và đi vay vào các đồng tiền có lợi</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Pr="00FA254E" w:rsidP="00084EF9">
            <w:pPr>
              <w:spacing w:before="40" w:after="40"/>
              <w:rPr>
                <w:sz w:val="24"/>
                <w:szCs w:val="24"/>
              </w:rPr>
            </w:pPr>
            <w:r w:rsidRPr="00FA254E">
              <w:rPr>
                <w:noProof/>
                <w:sz w:val="24"/>
                <w:szCs w:val="24"/>
              </w:rPr>
              <w:t>1.4</w:t>
            </w:r>
          </w:p>
          <w:p w:rsidR="002655A9" w:rsidRPr="00FA254E" w:rsidP="00084EF9">
            <w:pPr>
              <w:spacing w:before="40" w:after="40"/>
              <w:rPr>
                <w:color w:val="000000"/>
                <w:sz w:val="24"/>
                <w:szCs w:val="24"/>
              </w:rPr>
            </w:pPr>
            <w:r w:rsidRPr="00FA254E">
              <w:rPr>
                <w:noProof/>
                <w:sz w:val="24"/>
                <w:szCs w:val="24"/>
              </w:rPr>
              <w:t>1.5</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tài chính quốc tế</w:t>
            </w:r>
          </w:p>
          <w:p w:rsidRPr="00FA254E" w:rsidP="004D1122">
            <w:pPr>
              <w:spacing w:before="40" w:after="40"/>
              <w:rPr>
                <w:sz w:val="24"/>
                <w:szCs w:val="24"/>
              </w:rPr>
            </w:pPr>
            <w:r w:rsidRPr="00FA254E">
              <w:rPr>
                <w:noProof/>
                <w:sz w:val="24"/>
                <w:szCs w:val="24"/>
              </w:rPr>
              <w:t>Sự ra đời và phát triển của tài chính quốc tế</w:t>
            </w:r>
          </w:p>
          <w:p w:rsidRPr="00FA254E" w:rsidP="004D1122">
            <w:pPr>
              <w:spacing w:before="40" w:after="40"/>
              <w:rPr>
                <w:sz w:val="24"/>
                <w:szCs w:val="24"/>
              </w:rPr>
            </w:pPr>
            <w:r w:rsidRPr="00FA254E">
              <w:rPr>
                <w:noProof/>
                <w:sz w:val="24"/>
                <w:szCs w:val="24"/>
              </w:rPr>
              <w:t>Đặc trưng của  tài chính quốc tế</w:t>
            </w:r>
          </w:p>
          <w:p w:rsidRPr="00FA254E" w:rsidP="004D1122">
            <w:pPr>
              <w:spacing w:before="40" w:after="40"/>
              <w:rPr>
                <w:sz w:val="24"/>
                <w:szCs w:val="24"/>
              </w:rPr>
            </w:pPr>
            <w:r w:rsidRPr="00FA254E">
              <w:rPr>
                <w:noProof/>
                <w:sz w:val="24"/>
                <w:szCs w:val="24"/>
              </w:rPr>
              <w:t>Vai trò của tài chính quốc tế</w:t>
            </w:r>
          </w:p>
          <w:p w:rsidRPr="00FA254E" w:rsidP="004D1122">
            <w:pPr>
              <w:spacing w:before="40" w:after="40"/>
              <w:rPr>
                <w:sz w:val="24"/>
                <w:szCs w:val="24"/>
              </w:rPr>
            </w:pPr>
            <w:r w:rsidRPr="00FA254E">
              <w:rPr>
                <w:noProof/>
                <w:sz w:val="24"/>
                <w:szCs w:val="24"/>
              </w:rPr>
              <w:t>Các định chế tài chính quốc tế</w:t>
            </w:r>
          </w:p>
          <w:p w:rsidR="002655A9" w:rsidRPr="00FA254E" w:rsidP="004D1122">
            <w:pPr>
              <w:spacing w:before="40" w:after="40"/>
              <w:rPr>
                <w:color w:val="000000"/>
                <w:sz w:val="24"/>
                <w:szCs w:val="24"/>
              </w:rPr>
            </w:pPr>
            <w:r w:rsidRPr="00FA254E">
              <w:rPr>
                <w:noProof/>
                <w:sz w:val="24"/>
                <w:szCs w:val="24"/>
              </w:rPr>
              <w:t>Thị trường tài chính quốc tế</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Pr="00FA254E" w:rsidP="00084EF9">
            <w:pPr>
              <w:spacing w:before="40" w:after="40"/>
              <w:rPr>
                <w:sz w:val="24"/>
                <w:szCs w:val="24"/>
              </w:rPr>
            </w:pPr>
            <w:r w:rsidRPr="00FA254E">
              <w:rPr>
                <w:noProof/>
                <w:sz w:val="24"/>
                <w:szCs w:val="24"/>
              </w:rPr>
              <w:t>2.4</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2.5</w:t>
            </w:r>
          </w:p>
          <w:p w:rsidR="002655A9" w:rsidRPr="00FA254E" w:rsidP="00084EF9">
            <w:pPr>
              <w:spacing w:before="40" w:after="40"/>
              <w:rPr>
                <w:color w:val="000000"/>
                <w:sz w:val="24"/>
                <w:szCs w:val="24"/>
              </w:rPr>
            </w:pPr>
            <w:r w:rsidRPr="00FA254E">
              <w:rPr>
                <w:noProof/>
                <w:sz w:val="24"/>
                <w:szCs w:val="24"/>
              </w:rPr>
              <w:t>2.6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Thị trường</w:t>
            </w:r>
            <w:r w:rsidRPr="00FA254E">
              <w:rPr>
                <w:noProof/>
                <w:sz w:val="24"/>
                <w:szCs w:val="24"/>
              </w:rPr>
              <w:t xml:space="preserve"> ngoại hối</w:t>
            </w:r>
          </w:p>
          <w:p w:rsidRPr="00FA254E" w:rsidP="004D1122">
            <w:pPr>
              <w:spacing w:before="40" w:after="40"/>
              <w:rPr>
                <w:sz w:val="24"/>
                <w:szCs w:val="24"/>
              </w:rPr>
            </w:pPr>
            <w:r w:rsidRPr="00FA254E">
              <w:rPr>
                <w:noProof/>
                <w:sz w:val="24"/>
                <w:szCs w:val="24"/>
              </w:rPr>
              <w:t>Khái niệm và chức năng thị trường ngoại hối.</w:t>
            </w:r>
          </w:p>
          <w:p w:rsidRPr="00FA254E" w:rsidP="004D1122">
            <w:pPr>
              <w:spacing w:before="40" w:after="40"/>
              <w:rPr>
                <w:sz w:val="24"/>
                <w:szCs w:val="24"/>
              </w:rPr>
            </w:pPr>
            <w:r w:rsidRPr="00FA254E">
              <w:rPr>
                <w:noProof/>
                <w:sz w:val="24"/>
                <w:szCs w:val="24"/>
              </w:rPr>
              <w:t>Các chủ thể tham gia thị trường ngoại hối</w:t>
            </w:r>
          </w:p>
          <w:p w:rsidRPr="00FA254E" w:rsidP="004D1122">
            <w:pPr>
              <w:spacing w:before="40" w:after="40"/>
              <w:rPr>
                <w:sz w:val="24"/>
                <w:szCs w:val="24"/>
              </w:rPr>
            </w:pPr>
            <w:r w:rsidRPr="00FA254E">
              <w:rPr>
                <w:noProof/>
                <w:sz w:val="24"/>
                <w:szCs w:val="24"/>
              </w:rPr>
              <w:t>Sự hình thành tỷ giá hối đoái</w:t>
            </w:r>
          </w:p>
          <w:p w:rsidRPr="00FA254E" w:rsidP="004D1122">
            <w:pPr>
              <w:spacing w:before="40" w:after="40"/>
              <w:rPr>
                <w:sz w:val="24"/>
                <w:szCs w:val="24"/>
              </w:rPr>
            </w:pPr>
            <w:r w:rsidRPr="00FA254E">
              <w:rPr>
                <w:noProof/>
                <w:sz w:val="24"/>
                <w:szCs w:val="24"/>
              </w:rPr>
              <w:t xml:space="preserve">Sự biến động của tỷ giá và các yếu tố ảnh hưởng </w:t>
            </w:r>
          </w:p>
          <w:p w:rsidRPr="00FA254E" w:rsidP="004D1122">
            <w:pPr>
              <w:spacing w:before="40" w:after="40"/>
              <w:rPr>
                <w:sz w:val="24"/>
                <w:szCs w:val="24"/>
              </w:rPr>
            </w:pPr>
            <w:r w:rsidRPr="00FA254E">
              <w:rPr>
                <w:noProof/>
                <w:sz w:val="24"/>
                <w:szCs w:val="24"/>
              </w:rPr>
              <w:t>đến tỷ giá hối đoái</w:t>
            </w:r>
          </w:p>
          <w:p w:rsidRPr="00FA254E" w:rsidP="004D1122">
            <w:pPr>
              <w:spacing w:before="40" w:after="40"/>
              <w:rPr>
                <w:sz w:val="24"/>
                <w:szCs w:val="24"/>
              </w:rPr>
            </w:pPr>
            <w:r w:rsidRPr="00FA254E">
              <w:rPr>
                <w:noProof/>
                <w:sz w:val="24"/>
                <w:szCs w:val="24"/>
              </w:rPr>
              <w:t>Các giao dịch ngoại hối cơ bản</w:t>
            </w:r>
          </w:p>
          <w:p w:rsidR="002655A9" w:rsidRPr="00FA254E" w:rsidP="004D1122">
            <w:pPr>
              <w:spacing w:before="40" w:after="40"/>
              <w:rPr>
                <w:color w:val="000000"/>
                <w:sz w:val="24"/>
                <w:szCs w:val="24"/>
              </w:rPr>
            </w:pPr>
            <w:r w:rsidRPr="00FA254E">
              <w:rPr>
                <w:noProof/>
                <w:sz w:val="24"/>
                <w:szCs w:val="24"/>
              </w:rPr>
              <w:t>Chế độ tỷ giá và vai trò của Ngân hàng trung ương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002655A9" w:rsidRPr="00FA254E" w:rsidP="00084EF9">
            <w:pPr>
              <w:spacing w:before="40" w:after="40"/>
              <w:rPr>
                <w:color w:val="000000"/>
                <w:sz w:val="24"/>
                <w:szCs w:val="24"/>
              </w:rPr>
            </w:pPr>
            <w:r w:rsidRPr="00FA254E">
              <w:rPr>
                <w:noProof/>
                <w:sz w:val="24"/>
                <w:szCs w:val="24"/>
              </w:rPr>
              <w:t>3.4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Cán cân</w:t>
            </w:r>
            <w:r w:rsidRPr="00FA254E">
              <w:rPr>
                <w:noProof/>
                <w:sz w:val="24"/>
                <w:szCs w:val="24"/>
              </w:rPr>
              <w:t xml:space="preserve"> thanh toán quốc tế</w:t>
            </w:r>
          </w:p>
          <w:p w:rsidRPr="00FA254E" w:rsidP="004D1122">
            <w:pPr>
              <w:spacing w:before="40" w:after="40"/>
              <w:rPr>
                <w:sz w:val="24"/>
                <w:szCs w:val="24"/>
              </w:rPr>
            </w:pPr>
            <w:r w:rsidRPr="00FA254E">
              <w:rPr>
                <w:noProof/>
                <w:sz w:val="24"/>
                <w:szCs w:val="24"/>
              </w:rPr>
              <w:t>Khái niệm, đặc điểm và nguyên tắc hạch toán cán cân thanh toán</w:t>
            </w:r>
          </w:p>
          <w:p w:rsidRPr="00FA254E" w:rsidP="004D1122">
            <w:pPr>
              <w:spacing w:before="40" w:after="40"/>
              <w:rPr>
                <w:sz w:val="24"/>
                <w:szCs w:val="24"/>
              </w:rPr>
            </w:pPr>
            <w:r w:rsidRPr="00FA254E">
              <w:rPr>
                <w:noProof/>
                <w:sz w:val="24"/>
                <w:szCs w:val="24"/>
              </w:rPr>
              <w:t>Cấu trúc cán cân thanh toán</w:t>
            </w:r>
          </w:p>
          <w:p w:rsidRPr="00FA254E" w:rsidP="004D1122">
            <w:pPr>
              <w:spacing w:before="40" w:after="40"/>
              <w:rPr>
                <w:sz w:val="24"/>
                <w:szCs w:val="24"/>
              </w:rPr>
            </w:pPr>
            <w:r w:rsidRPr="00FA254E">
              <w:rPr>
                <w:noProof/>
                <w:sz w:val="24"/>
                <w:szCs w:val="24"/>
              </w:rPr>
              <w:t>Các yếu tố ảnh hưởng đến cán cân thanh toán</w:t>
            </w:r>
          </w:p>
          <w:p w:rsidR="002655A9" w:rsidRPr="00FA254E" w:rsidP="004D1122">
            <w:pPr>
              <w:spacing w:before="40" w:after="40"/>
              <w:rPr>
                <w:color w:val="000000"/>
                <w:sz w:val="24"/>
                <w:szCs w:val="24"/>
              </w:rPr>
            </w:pPr>
            <w:r w:rsidRPr="00FA254E">
              <w:rPr>
                <w:noProof/>
                <w:sz w:val="24"/>
                <w:szCs w:val="24"/>
              </w:rPr>
              <w:t>Thặng dư và thâm hụt cán cân thanh toán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002655A9" w:rsidRPr="00FA254E" w:rsidP="00084EF9">
            <w:pPr>
              <w:spacing w:before="40" w:after="40"/>
              <w:rPr>
                <w:color w:val="000000"/>
                <w:sz w:val="24"/>
                <w:szCs w:val="24"/>
              </w:rPr>
            </w:pPr>
            <w:r w:rsidRPr="00FA254E">
              <w:rPr>
                <w:noProof/>
                <w:sz w:val="24"/>
                <w:szCs w:val="24"/>
              </w:rPr>
              <w:t>4.4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Ngang giá</w:t>
            </w:r>
            <w:r w:rsidRPr="00FA254E">
              <w:rPr>
                <w:noProof/>
                <w:sz w:val="24"/>
                <w:szCs w:val="24"/>
              </w:rPr>
              <w:t xml:space="preserve"> sức mua</w:t>
            </w:r>
          </w:p>
          <w:p w:rsidRPr="00FA254E" w:rsidP="004D1122">
            <w:pPr>
              <w:spacing w:before="40" w:after="40"/>
              <w:rPr>
                <w:sz w:val="24"/>
                <w:szCs w:val="24"/>
              </w:rPr>
            </w:pPr>
            <w:r w:rsidRPr="00FA254E">
              <w:rPr>
                <w:noProof/>
                <w:sz w:val="24"/>
                <w:szCs w:val="24"/>
              </w:rPr>
              <w:t>Khái niệm ngang giá sức mua</w:t>
            </w:r>
          </w:p>
          <w:p w:rsidRPr="00FA254E" w:rsidP="004D1122">
            <w:pPr>
              <w:spacing w:before="40" w:after="40"/>
              <w:rPr>
                <w:sz w:val="24"/>
                <w:szCs w:val="24"/>
              </w:rPr>
            </w:pPr>
            <w:r w:rsidRPr="00FA254E">
              <w:rPr>
                <w:noProof/>
                <w:sz w:val="24"/>
                <w:szCs w:val="24"/>
              </w:rPr>
              <w:t xml:space="preserve">Quy luật một giá </w:t>
            </w:r>
          </w:p>
          <w:p w:rsidRPr="00FA254E" w:rsidP="004D1122">
            <w:pPr>
              <w:spacing w:before="40" w:after="40"/>
              <w:rPr>
                <w:sz w:val="24"/>
                <w:szCs w:val="24"/>
              </w:rPr>
            </w:pPr>
            <w:r w:rsidRPr="00FA254E">
              <w:rPr>
                <w:noProof/>
                <w:sz w:val="24"/>
                <w:szCs w:val="24"/>
              </w:rPr>
              <w:t>Các dạng biểu hiện của ngang giá sức mua</w:t>
            </w:r>
          </w:p>
          <w:p w:rsidR="002655A9" w:rsidRPr="00FA254E" w:rsidP="004D1122">
            <w:pPr>
              <w:spacing w:before="40" w:after="40"/>
              <w:rPr>
                <w:color w:val="000000"/>
                <w:sz w:val="24"/>
                <w:szCs w:val="24"/>
              </w:rPr>
            </w:pPr>
            <w:r w:rsidRPr="00FA254E">
              <w:rPr>
                <w:noProof/>
                <w:sz w:val="24"/>
                <w:szCs w:val="24"/>
              </w:rPr>
              <w:t>Nguyên nhân làm cho tỷ giá lệch khỏi ngang giá sức mua</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Pr="00FA254E" w:rsidP="00084EF9">
            <w:pPr>
              <w:spacing w:before="40" w:after="40"/>
              <w:rPr>
                <w:sz w:val="24"/>
                <w:szCs w:val="24"/>
              </w:rPr>
            </w:pPr>
            <w:r w:rsidRPr="00FA254E">
              <w:rPr>
                <w:noProof/>
                <w:sz w:val="24"/>
                <w:szCs w:val="24"/>
              </w:rPr>
              <w:t>5.4</w:t>
            </w:r>
          </w:p>
          <w:p w:rsidRPr="00FA254E" w:rsidP="00084EF9">
            <w:pPr>
              <w:spacing w:before="40" w:after="40"/>
              <w:rPr>
                <w:sz w:val="24"/>
                <w:szCs w:val="24"/>
              </w:rPr>
            </w:pPr>
            <w:r w:rsidRPr="00FA254E">
              <w:rPr>
                <w:noProof/>
                <w:sz w:val="24"/>
                <w:szCs w:val="24"/>
              </w:rPr>
              <w:t>5.5</w:t>
            </w:r>
          </w:p>
          <w:p w:rsidR="002655A9" w:rsidRPr="00FA254E" w:rsidP="00084EF9">
            <w:pPr>
              <w:spacing w:before="40" w:after="40"/>
              <w:rPr>
                <w:color w:val="000000"/>
                <w:sz w:val="24"/>
                <w:szCs w:val="24"/>
              </w:rPr>
            </w:pPr>
            <w:r w:rsidRPr="00FA254E">
              <w:rPr>
                <w:noProof/>
                <w:sz w:val="24"/>
                <w:szCs w:val="24"/>
              </w:rPr>
              <w:t>5.6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Ngang giá</w:t>
            </w:r>
            <w:r w:rsidRPr="00FA254E">
              <w:rPr>
                <w:noProof/>
                <w:sz w:val="24"/>
                <w:szCs w:val="24"/>
              </w:rPr>
              <w:t xml:space="preserve"> lãi suất</w:t>
            </w:r>
          </w:p>
          <w:p w:rsidRPr="00FA254E" w:rsidP="004D1122">
            <w:pPr>
              <w:spacing w:before="40" w:after="40"/>
              <w:rPr>
                <w:sz w:val="24"/>
                <w:szCs w:val="24"/>
              </w:rPr>
            </w:pPr>
            <w:r w:rsidRPr="00FA254E">
              <w:rPr>
                <w:noProof/>
                <w:sz w:val="24"/>
                <w:szCs w:val="24"/>
              </w:rPr>
              <w:t>Khái niệm ngang giá lãi suất</w:t>
            </w:r>
          </w:p>
          <w:p w:rsidRPr="00FA254E" w:rsidP="004D1122">
            <w:pPr>
              <w:spacing w:before="40" w:after="40"/>
              <w:rPr>
                <w:sz w:val="24"/>
                <w:szCs w:val="24"/>
              </w:rPr>
            </w:pPr>
            <w:r w:rsidRPr="00FA254E">
              <w:rPr>
                <w:noProof/>
                <w:sz w:val="24"/>
                <w:szCs w:val="24"/>
              </w:rPr>
              <w:t>Những tiêu chí quyết định đầu tư và đi vay</w:t>
            </w:r>
          </w:p>
          <w:p w:rsidRPr="00FA254E" w:rsidP="004D1122">
            <w:pPr>
              <w:spacing w:before="40" w:after="40"/>
              <w:rPr>
                <w:sz w:val="24"/>
                <w:szCs w:val="24"/>
              </w:rPr>
            </w:pPr>
            <w:r w:rsidRPr="00FA254E">
              <w:rPr>
                <w:noProof/>
                <w:sz w:val="24"/>
                <w:szCs w:val="24"/>
              </w:rPr>
              <w:t>Điều kiện ngang giá lãi suất có bảo hiểm.</w:t>
            </w:r>
          </w:p>
          <w:p w:rsidRPr="00FA254E" w:rsidP="004D1122">
            <w:pPr>
              <w:spacing w:before="40" w:after="40"/>
              <w:rPr>
                <w:sz w:val="24"/>
                <w:szCs w:val="24"/>
              </w:rPr>
            </w:pPr>
            <w:r w:rsidRPr="00FA254E">
              <w:rPr>
                <w:noProof/>
                <w:sz w:val="24"/>
                <w:szCs w:val="24"/>
              </w:rPr>
              <w:t>Điều kiện ngang giá lãi suất không bảo hiểm</w:t>
            </w:r>
          </w:p>
          <w:p w:rsidRPr="00FA254E" w:rsidP="004D1122">
            <w:pPr>
              <w:spacing w:before="40" w:after="40"/>
              <w:rPr>
                <w:sz w:val="24"/>
                <w:szCs w:val="24"/>
              </w:rPr>
            </w:pPr>
            <w:r w:rsidRPr="00FA254E">
              <w:rPr>
                <w:noProof/>
                <w:sz w:val="24"/>
                <w:szCs w:val="24"/>
              </w:rPr>
              <w:t>Hiệu ứng Fisher quốc tế</w:t>
            </w:r>
          </w:p>
          <w:p w:rsidR="002655A9" w:rsidRPr="00FA254E" w:rsidP="004D1122">
            <w:pPr>
              <w:spacing w:before="40" w:after="40"/>
              <w:rPr>
                <w:color w:val="000000"/>
                <w:sz w:val="24"/>
                <w:szCs w:val="24"/>
              </w:rPr>
            </w:pPr>
            <w:r w:rsidRPr="00FA254E">
              <w:rPr>
                <w:noProof/>
                <w:sz w:val="24"/>
                <w:szCs w:val="24"/>
              </w:rPr>
              <w:t>Những nhân tố làm ngang giá lãi suất bị lệch trong thực tế.</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9</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Thảo luận</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1, 3, 4</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c,</w:t>
            </w:r>
            <w:r>
              <w:rPr>
                <w:noProof/>
                <w:sz w:val="24"/>
                <w:szCs w:val="24"/>
              </w:rPr>
              <w:t xml:space="preserve">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Bài tập</w:t>
            </w:r>
          </w:p>
        </w:tc>
        <w:tc>
          <w:tcPr>
            <w:tcW w:w="2127" w:type="dxa"/>
            <w:vAlign w:val="center"/>
          </w:tcPr>
          <w:p w:rsidR="00190B75" w:rsidRPr="00FA254E" w:rsidP="00190B75" w14:textId="1F32AB3D">
            <w:pPr>
              <w:spacing w:before="40" w:after="40"/>
              <w:jc w:val="center"/>
              <w:rPr>
                <w:sz w:val="24"/>
                <w:szCs w:val="24"/>
              </w:rPr>
            </w:pPr>
            <w:r>
              <w:rPr>
                <w:noProof/>
                <w:sz w:val="24"/>
                <w:szCs w:val="24"/>
              </w:rPr>
              <w:t>2, 5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Nguyễn Văn</w:t>
            </w:r>
            <w:r w:rsidRPr="00FA254E">
              <w:rPr>
                <w:noProof/>
                <w:sz w:val="24"/>
                <w:szCs w:val="24"/>
              </w:rPr>
              <w:t xml:space="preserve"> Tiến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Tài chính</w:t>
            </w:r>
            <w:r w:rsidRPr="00FA254E">
              <w:rPr>
                <w:noProof/>
                <w:sz w:val="24"/>
                <w:szCs w:val="24"/>
              </w:rPr>
              <w:t xml:space="preserve"> quốc tế hiện đại</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Văn</w:t>
            </w:r>
            <w:r w:rsidRPr="00FA254E">
              <w:rPr>
                <w:noProof/>
                <w:sz w:val="24"/>
                <w:szCs w:val="24"/>
              </w:rPr>
              <w:t xml:space="preserve"> Tiến; Phạm Thị Hoàng Anh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Kinh doanh ngoại hối</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Trần Ngọc</w:t>
            </w:r>
            <w:r w:rsidRPr="00FA254E">
              <w:rPr>
                <w:noProof/>
                <w:sz w:val="24"/>
                <w:szCs w:val="24"/>
              </w:rPr>
              <w:t xml:space="preserve"> Thơ</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Tài chính</w:t>
            </w:r>
            <w:r w:rsidRPr="00FA254E">
              <w:rPr>
                <w:noProof/>
                <w:sz w:val="24"/>
                <w:szCs w:val="24"/>
              </w:rPr>
              <w:t xml:space="preserve"> quốc tế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Kinh tế</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Văn</w:t>
            </w:r>
            <w:r w:rsidRPr="00FA254E">
              <w:rPr>
                <w:noProof/>
                <w:sz w:val="24"/>
                <w:szCs w:val="24"/>
              </w:rPr>
              <w:t xml:space="preserve"> Tiến,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Bài tập</w:t>
            </w:r>
            <w:r w:rsidRPr="00FA254E">
              <w:rPr>
                <w:noProof/>
                <w:sz w:val="24"/>
                <w:szCs w:val="24"/>
              </w:rPr>
              <w:t xml:space="preserve"> và bài giải Tài chính quốc tế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Maurice D</w:t>
            </w:r>
            <w:r w:rsidRPr="00FA254E">
              <w:rPr>
                <w:noProof/>
                <w:sz w:val="24"/>
                <w:szCs w:val="24"/>
              </w:rPr>
              <w:t>. Levi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International finance</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New York</w:t>
            </w:r>
            <w:r w:rsidRPr="00FA254E">
              <w:rPr>
                <w:noProof/>
                <w:sz w:val="24"/>
                <w:szCs w:val="24"/>
              </w:rPr>
              <w:t>, Routledge,</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Phạm Thị</w:t>
      </w:r>
      <w:r>
        <w:rPr>
          <w:b/>
          <w:bCs/>
          <w:noProof/>
          <w:sz w:val="24"/>
          <w:szCs w:val="24"/>
        </w:rPr>
        <w:t xml:space="preserve"> Phương Uyên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